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海南中学劳务外包服务项目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[HNMJ]20250400002[GK]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海南鸣君项目管理有限公司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海南中学</w:t>
      </w:r>
      <w:r>
        <w:rPr>
          <w:rFonts w:ascii="仿宋_GB2312" w:hAnsi="仿宋_GB2312" w:cs="仿宋_GB2312" w:eastAsia="仿宋_GB2312"/>
        </w:rPr>
        <w:t xml:space="preserve"> 委托， </w:t>
      </w:r>
      <w:r>
        <w:rPr>
          <w:rFonts w:ascii="仿宋_GB2312" w:hAnsi="仿宋_GB2312" w:cs="仿宋_GB2312" w:eastAsia="仿宋_GB2312"/>
        </w:rPr>
        <w:t>海南鸣君项目管理有限公司</w:t>
      </w:r>
      <w:r>
        <w:rPr>
          <w:rFonts w:ascii="仿宋_GB2312" w:hAnsi="仿宋_GB2312" w:cs="仿宋_GB2312" w:eastAsia="仿宋_GB2312"/>
        </w:rPr>
        <w:t xml:space="preserve"> 对 </w:t>
      </w:r>
      <w:r>
        <w:rPr>
          <w:rFonts w:ascii="仿宋_GB2312" w:hAnsi="仿宋_GB2312" w:cs="仿宋_GB2312" w:eastAsia="仿宋_GB2312"/>
        </w:rPr>
        <w:t>海南中学劳务外包服务项目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[HNMJ]20250400002[GK]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海南中学劳务外包服务项目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7,496,463.00元</w:t>
      </w:r>
      <w:r>
        <w:rPr>
          <w:rFonts w:ascii="仿宋_GB2312" w:hAnsi="仿宋_GB2312" w:cs="仿宋_GB2312" w:eastAsia="仿宋_GB2312"/>
        </w:rPr>
        <w:t>柒佰肆拾玖万陆仟肆佰陆拾叁元整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二年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1、政府采购活动前三年内无环保类行政处罚记录：政府采购活动前三年内无环保类行政处罚记录，提供声明函。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采购标的对应的中小企业划分标准所属行业: 租赁和商务服务业。</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海口市琼山区大路街187号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0898-66779927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海南鸣君项目管理有限公司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海南省海口市美兰区滨江路88号枫丹白露B区9#302</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陈钟启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18289966786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采购包1：7,496,463.00元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代理服务费收费标准：按照国家（发展）计划委员会印发的计价格【2002】1980号文《招标代理服务收费管理暂行办法》服务招标类收费标准的85%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采购标的对应的中小企业划分标准所属行业: 租赁和商务服务业。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联系人：陈钟启</w:t>
      </w:r>
    </w:p>
    <w:p>
      <w:pPr>
        <w:pStyle w:val="null3"/>
        <w:jc w:val="left"/>
      </w:pPr>
      <w:r>
        <w:rPr>
          <w:rFonts w:ascii="仿宋_GB2312" w:hAnsi="仿宋_GB2312" w:cs="仿宋_GB2312" w:eastAsia="仿宋_GB2312"/>
        </w:rPr>
        <w:t>联系电话：0898-68590997</w:t>
      </w:r>
    </w:p>
    <w:p>
      <w:pPr>
        <w:pStyle w:val="null3"/>
        <w:jc w:val="left"/>
      </w:pPr>
      <w:r>
        <w:rPr>
          <w:rFonts w:ascii="仿宋_GB2312" w:hAnsi="仿宋_GB2312" w:cs="仿宋_GB2312" w:eastAsia="仿宋_GB2312"/>
        </w:rPr>
        <w:t>地址：海南省海口市美兰区滨江路88号枫丹白露B区东北门商铺3层</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color w:val="000000"/>
        </w:rPr>
        <w:t>本项目采购内容为劳务外包服务采购，通过招标确定服务方。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7,496,463.00</w:t>
      </w:r>
    </w:p>
    <w:p>
      <w:pPr>
        <w:pStyle w:val="null3"/>
        <w:jc w:val="left"/>
      </w:pPr>
      <w:r>
        <w:rPr>
          <w:rFonts w:ascii="仿宋_GB2312" w:hAnsi="仿宋_GB2312" w:cs="仿宋_GB2312" w:eastAsia="仿宋_GB2312"/>
        </w:rPr>
        <w:t>采购包最高限价（元）: 7,496,463.00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7,496,463.00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其余部分费用{包括基本工资、基础绩效工资、奖励性绩效工资、高温补贴、通讯费补贴、物业补贴等，并按规定每月缴纳养老、医疗、工伤、失业四项保险和住房公积金，住房公积金缴费比例为 12%（个人承担部分养老、医疗、失业、公积金从中代扣代缴）。具体金额以财政审核后实际发放为准。 }</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7,266,063.00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其余部分费用的总价格采用固定价格，供应商对其余部分费用报价必须合计为 7266063.00万元，否则按无效投标处理。（具体薪酬发放据实结算）</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管理服务费（含税）</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1、管理服务费（含税）报价不得超过230400.00元； 2、管理服务费（含税）须对每人每月的管理服务费（含税）的单价进行报价（如供应商编标时明细表无法填写，请单独对报价明细编制报价说明）。</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color w:val="000000"/>
              </w:rPr>
              <w:t>★（一）、服务范围</w:t>
            </w:r>
          </w:p>
          <w:p>
            <w:pPr>
              <w:pStyle w:val="null3"/>
              <w:jc w:val="left"/>
            </w:pPr>
            <w:r>
              <w:rPr>
                <w:rFonts w:ascii="仿宋_GB2312" w:hAnsi="仿宋_GB2312" w:cs="仿宋_GB2312" w:eastAsia="仿宋_GB2312"/>
                <w:sz w:val="24"/>
                <w:b/>
                <w:color w:val="000000"/>
              </w:rPr>
              <w:t>1、用工形式：</w:t>
            </w:r>
          </w:p>
          <w:p>
            <w:pPr>
              <w:pStyle w:val="null3"/>
              <w:ind w:firstLine="480"/>
              <w:jc w:val="left"/>
            </w:pPr>
            <w:r>
              <w:rPr>
                <w:rFonts w:ascii="仿宋_GB2312" w:hAnsi="仿宋_GB2312" w:cs="仿宋_GB2312" w:eastAsia="仿宋_GB2312"/>
                <w:sz w:val="24"/>
                <w:color w:val="000000"/>
              </w:rPr>
              <w:t>聘用人员与</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形成劳动关系后</w:t>
            </w:r>
            <w:r>
              <w:rPr>
                <w:rFonts w:ascii="仿宋_GB2312" w:hAnsi="仿宋_GB2312" w:cs="仿宋_GB2312" w:eastAsia="仿宋_GB2312"/>
                <w:sz w:val="24"/>
                <w:color w:val="000000"/>
              </w:rPr>
              <w:t>,安排到各</w:t>
            </w:r>
            <w:r>
              <w:rPr>
                <w:rFonts w:ascii="仿宋_GB2312" w:hAnsi="仿宋_GB2312" w:cs="仿宋_GB2312" w:eastAsia="仿宋_GB2312"/>
                <w:sz w:val="24"/>
                <w:color w:val="000000"/>
              </w:rPr>
              <w:t>岗位</w:t>
            </w:r>
            <w:r>
              <w:rPr>
                <w:rFonts w:ascii="仿宋_GB2312" w:hAnsi="仿宋_GB2312" w:cs="仿宋_GB2312" w:eastAsia="仿宋_GB2312"/>
                <w:sz w:val="24"/>
                <w:color w:val="000000"/>
              </w:rPr>
              <w:t>工作，由</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和</w:t>
            </w:r>
            <w:r>
              <w:rPr>
                <w:rFonts w:ascii="仿宋_GB2312" w:hAnsi="仿宋_GB2312" w:cs="仿宋_GB2312" w:eastAsia="仿宋_GB2312"/>
                <w:sz w:val="32"/>
              </w:rPr>
              <w:t xml:space="preserve">   </w:t>
            </w:r>
            <w:r>
              <w:rPr>
                <w:rFonts w:ascii="仿宋_GB2312" w:hAnsi="仿宋_GB2312" w:cs="仿宋_GB2312" w:eastAsia="仿宋_GB2312"/>
                <w:sz w:val="24"/>
                <w:color w:val="000000"/>
              </w:rPr>
              <w:t>共同管理。</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b/>
                <w:color w:val="000000"/>
              </w:rPr>
              <w:t>2、招聘岗位和名额：</w:t>
            </w:r>
          </w:p>
          <w:p>
            <w:pPr>
              <w:pStyle w:val="null3"/>
              <w:ind w:firstLine="480"/>
              <w:jc w:val="left"/>
            </w:pPr>
            <w:r>
              <w:rPr>
                <w:rFonts w:ascii="仿宋_GB2312" w:hAnsi="仿宋_GB2312" w:cs="仿宋_GB2312" w:eastAsia="仿宋_GB2312"/>
                <w:sz w:val="24"/>
                <w:color w:val="000000"/>
              </w:rPr>
              <w:t>本次计划招聘人员</w:t>
            </w:r>
            <w:r>
              <w:rPr>
                <w:rFonts w:ascii="仿宋_GB2312" w:hAnsi="仿宋_GB2312" w:cs="仿宋_GB2312" w:eastAsia="仿宋_GB2312"/>
                <w:sz w:val="24"/>
                <w:color w:val="000000"/>
              </w:rPr>
              <w:t>48</w:t>
            </w:r>
            <w:r>
              <w:rPr>
                <w:rFonts w:ascii="仿宋_GB2312" w:hAnsi="仿宋_GB2312" w:cs="仿宋_GB2312" w:eastAsia="仿宋_GB2312"/>
                <w:sz w:val="24"/>
                <w:color w:val="000000"/>
              </w:rPr>
              <w:t>名。</w:t>
            </w:r>
          </w:p>
          <w:p>
            <w:pPr>
              <w:pStyle w:val="null3"/>
              <w:jc w:val="left"/>
            </w:pPr>
            <w:r>
              <w:rPr>
                <w:rFonts w:ascii="仿宋_GB2312" w:hAnsi="仿宋_GB2312" w:cs="仿宋_GB2312" w:eastAsia="仿宋_GB2312"/>
                <w:sz w:val="24"/>
                <w:b/>
                <w:color w:val="000000"/>
              </w:rPr>
              <w:t>3、工资：</w:t>
            </w:r>
          </w:p>
          <w:p>
            <w:pPr>
              <w:pStyle w:val="null3"/>
              <w:ind w:firstLine="480"/>
              <w:jc w:val="left"/>
            </w:pPr>
            <w:r>
              <w:rPr>
                <w:rFonts w:ascii="仿宋_GB2312" w:hAnsi="仿宋_GB2312" w:cs="仿宋_GB2312" w:eastAsia="仿宋_GB2312"/>
                <w:sz w:val="24"/>
                <w:color w:val="000000"/>
              </w:rPr>
              <w:t>工资包括基本工资、基础绩效工资、奖励性绩效工资、高温补贴、通讯费补贴、物业补贴等，并按规定每月缴纳养老、医疗、工伤、失业四项保险和住房公积金，住房公积金缴费比例为</w:t>
            </w:r>
            <w:r>
              <w:rPr>
                <w:rFonts w:ascii="仿宋_GB2312" w:hAnsi="仿宋_GB2312" w:cs="仿宋_GB2312" w:eastAsia="仿宋_GB2312"/>
                <w:sz w:val="24"/>
                <w:color w:val="000000"/>
              </w:rPr>
              <w:t>12%（个人承担部分养老、医疗、失业、公积金从中代扣代缴）。具体金额以财政审核后实际发放为准。</w:t>
            </w:r>
          </w:p>
          <w:p>
            <w:pPr>
              <w:pStyle w:val="null3"/>
              <w:jc w:val="both"/>
            </w:pPr>
            <w:r>
              <w:rPr>
                <w:rFonts w:ascii="仿宋_GB2312" w:hAnsi="仿宋_GB2312" w:cs="仿宋_GB2312" w:eastAsia="仿宋_GB2312"/>
                <w:sz w:val="24"/>
                <w:b/>
                <w:color w:val="000000"/>
              </w:rPr>
              <w:t>★（二）、服务要求及标准：</w:t>
            </w:r>
          </w:p>
          <w:p>
            <w:pPr>
              <w:pStyle w:val="null3"/>
              <w:jc w:val="left"/>
            </w:pPr>
            <w:r>
              <w:rPr>
                <w:rFonts w:ascii="仿宋_GB2312" w:hAnsi="仿宋_GB2312" w:cs="仿宋_GB2312" w:eastAsia="仿宋_GB2312"/>
                <w:sz w:val="24"/>
                <w:color w:val="000000"/>
              </w:rPr>
              <w:t>1、中标人要严格按照劳务外包项目需求数量编制用人方案，实施劳务外包人员的招聘、培训等事项，保证被派往的劳务人员符合岗位所需。</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作为劳务外包人员的人事管理单位应对被外包的劳务人员人事关系负责；及时为劳务外包人员依法办理各项手续，包括入职、离职、薪酬福利、体检、奖惩、社保、工伤、劳务纠纷等事项。</w:t>
            </w:r>
          </w:p>
          <w:p>
            <w:pPr>
              <w:pStyle w:val="null3"/>
              <w:jc w:val="left"/>
            </w:pPr>
            <w:r>
              <w:rPr>
                <w:rFonts w:ascii="仿宋_GB2312" w:hAnsi="仿宋_GB2312" w:cs="仿宋_GB2312" w:eastAsia="仿宋_GB2312"/>
                <w:sz w:val="24"/>
                <w:color w:val="000000"/>
              </w:rPr>
              <w:t>3、若采购人与劳务外包人员发生劳动争议，</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应负责及时与劳务外包人员交涉，处理与劳务人员的劳动争议，并采取合法有效的措施避免给采购人带来负面影响。</w:t>
            </w:r>
          </w:p>
          <w:p>
            <w:pPr>
              <w:pStyle w:val="null3"/>
              <w:jc w:val="left"/>
            </w:pPr>
            <w:r>
              <w:rPr>
                <w:rFonts w:ascii="仿宋_GB2312" w:hAnsi="仿宋_GB2312" w:cs="仿宋_GB2312" w:eastAsia="仿宋_GB2312"/>
                <w:sz w:val="24"/>
                <w:color w:val="000000"/>
              </w:rPr>
              <w:t>4、被派往的劳务外包人员若发生工伤等事故，</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要按照相关法律、法规之规定办理理赔手续。</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要结合采购人的审批劳务外包项目人员用人计划及劳务外包项目人员的具体情况，按照采购方的管理制度要求配合采购方对劳务外包人员实行动态管理。</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要按照统一规定的劳务外包项目人员工资标准，定额发放给外包的劳务人员薪酬，同时还应依法建立和完善规章制度，明确劳务外包人员工作时间、休息休假、劳动安全卫生、保险福利、岗位职责、劳动纪律、奖惩奖励，为劳务人员提供必要的工作条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55" w:after="255"/>
              <w:jc w:val="left"/>
            </w:pPr>
            <w:r>
              <w:rPr>
                <w:rFonts w:ascii="仿宋_GB2312" w:hAnsi="仿宋_GB2312" w:cs="仿宋_GB2312" w:eastAsia="仿宋_GB2312"/>
                <w:sz w:val="24"/>
                <w:b/>
                <w:color w:val="000000"/>
              </w:rPr>
              <w:t>★</w:t>
            </w:r>
            <w:r>
              <w:rPr>
                <w:rFonts w:ascii="仿宋_GB2312" w:hAnsi="仿宋_GB2312" w:cs="仿宋_GB2312" w:eastAsia="仿宋_GB2312"/>
                <w:sz w:val="24"/>
                <w:b/>
              </w:rPr>
              <w:t>（一）、服务期、服务地点及方式（履约时间、履约地点及方式）：</w:t>
            </w:r>
          </w:p>
          <w:p>
            <w:pPr>
              <w:pStyle w:val="null3"/>
              <w:ind w:firstLine="480"/>
              <w:jc w:val="both"/>
            </w:pPr>
            <w:r>
              <w:rPr>
                <w:rFonts w:ascii="仿宋_GB2312" w:hAnsi="仿宋_GB2312" w:cs="仿宋_GB2312" w:eastAsia="仿宋_GB2312"/>
                <w:sz w:val="24"/>
                <w:color w:val="000000"/>
              </w:rPr>
              <w:t>1、服务期（履约时间）：</w:t>
            </w:r>
            <w:r>
              <w:rPr>
                <w:rFonts w:ascii="仿宋_GB2312" w:hAnsi="仿宋_GB2312" w:cs="仿宋_GB2312" w:eastAsia="仿宋_GB2312"/>
                <w:sz w:val="24"/>
                <w:color w:val="000000"/>
              </w:rPr>
              <w:t>二</w:t>
            </w:r>
            <w:r>
              <w:rPr>
                <w:rFonts w:ascii="仿宋_GB2312" w:hAnsi="仿宋_GB2312" w:cs="仿宋_GB2312" w:eastAsia="仿宋_GB2312"/>
                <w:sz w:val="24"/>
                <w:color w:val="000000"/>
              </w:rPr>
              <w:t>年</w:t>
            </w:r>
          </w:p>
          <w:p>
            <w:pPr>
              <w:pStyle w:val="null3"/>
              <w:ind w:firstLine="480"/>
              <w:jc w:val="both"/>
            </w:pPr>
            <w:r>
              <w:rPr>
                <w:rFonts w:ascii="仿宋_GB2312" w:hAnsi="仿宋_GB2312" w:cs="仿宋_GB2312" w:eastAsia="仿宋_GB2312"/>
                <w:sz w:val="24"/>
                <w:color w:val="000000"/>
              </w:rPr>
              <w:t>2、服务地点（履约地点）：采购人指定地点。</w:t>
            </w:r>
          </w:p>
          <w:p>
            <w:pPr>
              <w:pStyle w:val="null3"/>
              <w:ind w:firstLine="480"/>
              <w:jc w:val="both"/>
            </w:pPr>
            <w:r>
              <w:rPr>
                <w:rFonts w:ascii="仿宋_GB2312" w:hAnsi="仿宋_GB2312" w:cs="仿宋_GB2312" w:eastAsia="仿宋_GB2312"/>
                <w:sz w:val="24"/>
                <w:color w:val="000000"/>
              </w:rPr>
              <w:t>3、服务方式（履约方式）：劳务外包服务</w:t>
            </w:r>
          </w:p>
          <w:p>
            <w:pPr>
              <w:pStyle w:val="null3"/>
              <w:jc w:val="both"/>
            </w:pPr>
            <w:r>
              <w:rPr>
                <w:rFonts w:ascii="仿宋_GB2312" w:hAnsi="仿宋_GB2312" w:cs="仿宋_GB2312" w:eastAsia="仿宋_GB2312"/>
                <w:sz w:val="24"/>
                <w:b/>
                <w:color w:val="000000"/>
              </w:rPr>
              <w:t>★（二）、付款时间、方式及条件：</w:t>
            </w:r>
            <w:r>
              <w:rPr>
                <w:rFonts w:ascii="仿宋_GB2312" w:hAnsi="仿宋_GB2312" w:cs="仿宋_GB2312" w:eastAsia="仿宋_GB2312"/>
                <w:sz w:val="24"/>
                <w:color w:val="000000"/>
              </w:rPr>
              <w:t>费用按月结算，采购人在每月</w:t>
            </w:r>
            <w:r>
              <w:rPr>
                <w:rFonts w:ascii="仿宋_GB2312" w:hAnsi="仿宋_GB2312" w:cs="仿宋_GB2312" w:eastAsia="仿宋_GB2312"/>
                <w:sz w:val="24"/>
                <w:color w:val="000000"/>
              </w:rPr>
              <w:t>10日前向中标人结算支付上月劳务相关费用，中标人不得以任何理由克扣或拖欠劳务外包人员的劳动报酬。</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4"/>
                <w:b/>
                <w:color w:val="000000"/>
              </w:rPr>
              <w:t>★（三）、验收方法及标准：</w:t>
            </w:r>
          </w:p>
          <w:p>
            <w:pPr>
              <w:pStyle w:val="null3"/>
              <w:ind w:firstLine="480"/>
              <w:jc w:val="both"/>
            </w:pPr>
            <w:r>
              <w:rPr>
                <w:rFonts w:ascii="仿宋_GB2312" w:hAnsi="仿宋_GB2312" w:cs="仿宋_GB2312" w:eastAsia="仿宋_GB2312"/>
                <w:sz w:val="24"/>
                <w:color w:val="000000"/>
              </w:rPr>
              <w:t>按本招标文件及中标方投标文件及国家和企业的相关政策、法规实施。</w:t>
            </w:r>
          </w:p>
          <w:p>
            <w:pPr>
              <w:pStyle w:val="null3"/>
              <w:ind w:left="405"/>
              <w:jc w:val="both"/>
            </w:pPr>
            <w:r>
              <w:rPr>
                <w:rFonts w:ascii="仿宋_GB2312" w:hAnsi="仿宋_GB2312" w:cs="仿宋_GB2312" w:eastAsia="仿宋_GB2312"/>
                <w:sz w:val="24"/>
                <w:b/>
                <w:color w:val="000000"/>
              </w:rPr>
              <w:t>★（四）、其他：</w:t>
            </w:r>
          </w:p>
          <w:p>
            <w:pPr>
              <w:pStyle w:val="null3"/>
              <w:ind w:firstLine="480"/>
              <w:jc w:val="both"/>
            </w:pPr>
            <w:r>
              <w:rPr>
                <w:rFonts w:ascii="仿宋_GB2312" w:hAnsi="仿宋_GB2312" w:cs="仿宋_GB2312" w:eastAsia="仿宋_GB2312"/>
                <w:sz w:val="24"/>
                <w:color w:val="000000"/>
              </w:rPr>
              <w:t>1、项目的实质性要求：按本招标文件要求实施。</w:t>
            </w:r>
          </w:p>
          <w:p>
            <w:pPr>
              <w:pStyle w:val="null3"/>
              <w:ind w:firstLine="480"/>
              <w:jc w:val="both"/>
            </w:pPr>
            <w:r>
              <w:rPr>
                <w:rFonts w:ascii="仿宋_GB2312" w:hAnsi="仿宋_GB2312" w:cs="仿宋_GB2312" w:eastAsia="仿宋_GB2312"/>
                <w:sz w:val="24"/>
                <w:color w:val="000000"/>
              </w:rPr>
              <w:t>2、合同的实质性条款：采购人与中标人的名称和住所、标的、数量、质量、价款或者报酬、履行期限及地点和方式、验收要求、违约责任、解决争议的方法等内容。</w:t>
            </w:r>
          </w:p>
          <w:p>
            <w:pPr>
              <w:pStyle w:val="null3"/>
              <w:ind w:firstLine="480"/>
              <w:jc w:val="both"/>
            </w:pPr>
            <w:r>
              <w:rPr>
                <w:rFonts w:ascii="仿宋_GB2312" w:hAnsi="仿宋_GB2312" w:cs="仿宋_GB2312" w:eastAsia="仿宋_GB2312"/>
                <w:sz w:val="24"/>
                <w:color w:val="000000"/>
              </w:rPr>
              <w:t>3、安全标准：符合国家、地方和行业的相关政策、法规。</w:t>
            </w:r>
          </w:p>
          <w:p>
            <w:pPr>
              <w:pStyle w:val="null3"/>
              <w:ind w:firstLine="480"/>
              <w:jc w:val="both"/>
            </w:pPr>
            <w:r>
              <w:rPr>
                <w:rFonts w:ascii="仿宋_GB2312" w:hAnsi="仿宋_GB2312" w:cs="仿宋_GB2312" w:eastAsia="仿宋_GB2312"/>
                <w:sz w:val="24"/>
                <w:color w:val="000000"/>
              </w:rPr>
              <w:t>4、法律法规规定的强制性标准：无</w:t>
            </w:r>
          </w:p>
          <w:p>
            <w:pPr>
              <w:pStyle w:val="null3"/>
              <w:ind w:left="15" w:firstLine="458"/>
              <w:jc w:val="left"/>
            </w:pPr>
            <w:r>
              <w:rPr>
                <w:rFonts w:ascii="仿宋_GB2312" w:hAnsi="仿宋_GB2312" w:cs="仿宋_GB2312" w:eastAsia="仿宋_GB2312"/>
                <w:sz w:val="24"/>
                <w:color w:val="000000"/>
              </w:rPr>
              <w:t>5、 如项目实施过程中出现中标供应商不按投标文件、合同内容要求执行，无法满足于项目实施标准要求，采购人有权终止合同，并报政府采购管理部门严肃处理。</w:t>
            </w:r>
          </w:p>
          <w:p>
            <w:pPr>
              <w:pStyle w:val="null3"/>
              <w:ind w:left="15" w:firstLine="458"/>
              <w:jc w:val="left"/>
            </w:pPr>
            <w:r>
              <w:rPr>
                <w:rFonts w:ascii="仿宋_GB2312" w:hAnsi="仿宋_GB2312" w:cs="仿宋_GB2312" w:eastAsia="仿宋_GB2312"/>
                <w:sz w:val="24"/>
                <w:color w:val="000000"/>
              </w:rPr>
              <w:t>6、 为避免出现管理服务费报价低于成本价或与市场价格明显偏离的削价竞争，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jc w:val="left"/>
            </w:pPr>
            <w:r>
              <w:rPr>
                <w:rFonts w:ascii="仿宋_GB2312" w:hAnsi="仿宋_GB2312" w:cs="仿宋_GB2312" w:eastAsia="仿宋_GB2312"/>
                <w:sz w:val="24"/>
                <w:b/>
                <w:color w:val="000000"/>
              </w:rPr>
              <w:t>★（五）、报价说明：</w:t>
            </w:r>
          </w:p>
          <w:p>
            <w:pPr>
              <w:pStyle w:val="null3"/>
              <w:ind w:firstLine="420"/>
              <w:jc w:val="left"/>
            </w:pPr>
            <w:r>
              <w:rPr>
                <w:rFonts w:ascii="仿宋_GB2312" w:hAnsi="仿宋_GB2312" w:cs="仿宋_GB2312" w:eastAsia="仿宋_GB2312"/>
                <w:sz w:val="24"/>
                <w:color w:val="000000"/>
              </w:rPr>
              <w:t>1、本项目预算总价应包含(但不限于): 被招聘人员的基本工资、基础绩效工资、奖励性绩效工资、高温补贴、通讯费补贴、物业补贴、并按规定每月缴纳养老、医疗、工伤、失业四项保险和住房公积金及投标人的管理服务费等各项费用。</w:t>
            </w:r>
          </w:p>
          <w:p>
            <w:pPr>
              <w:pStyle w:val="null3"/>
              <w:ind w:firstLine="420"/>
              <w:jc w:val="left"/>
            </w:pPr>
            <w:r>
              <w:rPr>
                <w:rFonts w:ascii="仿宋_GB2312" w:hAnsi="仿宋_GB2312" w:cs="仿宋_GB2312" w:eastAsia="仿宋_GB2312"/>
                <w:sz w:val="24"/>
                <w:color w:val="000000"/>
              </w:rPr>
              <w:t>2、由于外包服务所招聘人员的薪资及福利将以最终实际发生数额为准,在招投标阶段尚不能确定具体数额, 结算时按实际发生的劳务薪资、福利及相关费用开支等计算所得支付。</w:t>
            </w:r>
          </w:p>
          <w:p>
            <w:pPr>
              <w:pStyle w:val="null3"/>
              <w:ind w:left="15" w:firstLine="458"/>
              <w:jc w:val="left"/>
            </w:pPr>
            <w:r>
              <w:rPr>
                <w:rFonts w:ascii="仿宋_GB2312" w:hAnsi="仿宋_GB2312" w:cs="仿宋_GB2312" w:eastAsia="仿宋_GB2312"/>
                <w:sz w:val="24"/>
                <w:color w:val="000000"/>
              </w:rPr>
              <w:t>3、 由各投标人在报价时需报出对每位被招聘人员每月收取的管理服务费[以元/（人·月）为计量单位]；</w:t>
            </w:r>
          </w:p>
          <w:p>
            <w:pPr>
              <w:pStyle w:val="null3"/>
              <w:spacing w:before="120" w:after="60"/>
              <w:jc w:val="left"/>
            </w:pPr>
            <w:r>
              <w:rPr>
                <w:rFonts w:ascii="仿宋_GB2312" w:hAnsi="仿宋_GB2312" w:cs="仿宋_GB2312" w:eastAsia="仿宋_GB2312"/>
                <w:sz w:val="24"/>
                <w:b/>
                <w:color w:val="000000"/>
              </w:rPr>
              <w:t>4、 最高限价：749.6463万元，报价超出最高限价按无效报价处理。其中,管理费部分不得高于</w:t>
            </w:r>
            <w:r>
              <w:rPr>
                <w:rFonts w:ascii="仿宋_GB2312" w:hAnsi="仿宋_GB2312" w:cs="仿宋_GB2312" w:eastAsia="仿宋_GB2312"/>
                <w:sz w:val="24"/>
                <w:b/>
                <w:color w:val="000000"/>
              </w:rPr>
              <w:t>230400.00</w:t>
            </w:r>
            <w:r>
              <w:rPr>
                <w:rFonts w:ascii="仿宋_GB2312" w:hAnsi="仿宋_GB2312" w:cs="仿宋_GB2312" w:eastAsia="仿宋_GB2312"/>
                <w:sz w:val="24"/>
                <w:b/>
                <w:color w:val="000000"/>
              </w:rPr>
              <w:t>元</w:t>
            </w:r>
            <w:r>
              <w:rPr>
                <w:rFonts w:ascii="仿宋_GB2312" w:hAnsi="仿宋_GB2312" w:cs="仿宋_GB2312" w:eastAsia="仿宋_GB2312"/>
                <w:sz w:val="24"/>
                <w:b/>
                <w:color w:val="000000"/>
              </w:rPr>
              <w:t>{每人每月的管理服务费的单价报价最高限额为人民币</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00 元[即单价报价≤</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00元/（人·月）]},其余部分费用为固定</w:t>
            </w:r>
            <w:r>
              <w:rPr>
                <w:rFonts w:ascii="仿宋_GB2312" w:hAnsi="仿宋_GB2312" w:cs="仿宋_GB2312" w:eastAsia="仿宋_GB2312"/>
                <w:sz w:val="24"/>
                <w:b/>
                <w:color w:val="000000"/>
              </w:rPr>
              <w:t>7266063.00</w:t>
            </w:r>
            <w:r>
              <w:rPr>
                <w:rFonts w:ascii="仿宋_GB2312" w:hAnsi="仿宋_GB2312" w:cs="仿宋_GB2312" w:eastAsia="仿宋_GB2312"/>
                <w:sz w:val="24"/>
                <w:b/>
                <w:color w:val="000000"/>
              </w:rPr>
              <w:t>元。</w:t>
            </w:r>
          </w:p>
          <w:p>
            <w:pPr>
              <w:pStyle w:val="null3"/>
              <w:jc w:val="both"/>
            </w:pPr>
            <w:r>
              <w:rPr>
                <w:rFonts w:ascii="仿宋_GB2312" w:hAnsi="仿宋_GB2312" w:cs="仿宋_GB2312" w:eastAsia="仿宋_GB2312"/>
                <w:sz w:val="32"/>
              </w:rPr>
              <w:t xml:space="preserve"> </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其他证明材料（如有）</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其他证明材料（如有）</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政府采购活动前三年内无环保类行政处罚记录</w:t>
            </w:r>
          </w:p>
        </w:tc>
        <w:tc>
          <w:tcPr>
            <w:tcW w:type="dxa" w:w="3322"/>
          </w:tcPr>
          <w:p>
            <w:pPr>
              <w:pStyle w:val="null3"/>
              <w:jc w:val="left"/>
            </w:pPr>
            <w:r>
              <w:rPr>
                <w:rFonts w:ascii="仿宋_GB2312" w:hAnsi="仿宋_GB2312" w:cs="仿宋_GB2312" w:eastAsia="仿宋_GB2312"/>
              </w:rPr>
              <w:t>政府采购活动前三年内无环保类行政处罚记录，提供声明函。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“供应商资格要求”中要求的其他相关文件（若有） 商务响应表 开标（报价）一览表 自觉抵制政府采购领域商业贿赂行为承诺书 封面 商业信誉、财务会计制度、缴纳税收和社保的承诺函 具有独立承担民事责任的能力证明文件 技术响应表 投标人承诺函 投标（响应）报价明细表 其他证明材料（如有） 无重大违法记录声明函 法定代表人资格证明书或法定代表人授权委托书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 开标（报价）一览表 其他证明材料（如有）</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商务响应表 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其他证明材料（如有）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其他证明材料（如有）</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技术部分79.00分</w:t>
            </w:r>
          </w:p>
          <w:p>
            <w:pPr>
              <w:pStyle w:val="null3"/>
              <w:jc w:val="both"/>
            </w:pPr>
            <w:r>
              <w:rPr>
                <w:rFonts w:ascii="仿宋_GB2312" w:hAnsi="仿宋_GB2312" w:cs="仿宋_GB2312" w:eastAsia="仿宋_GB2312"/>
              </w:rPr>
              <w:t>商务部分11.00分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组织实施方案</w:t>
            </w:r>
          </w:p>
        </w:tc>
        <w:tc>
          <w:tcPr>
            <w:tcW w:type="dxa" w:w="2492"/>
          </w:tcPr>
          <w:p>
            <w:pPr>
              <w:pStyle w:val="null3"/>
              <w:jc w:val="both"/>
            </w:pPr>
            <w:r>
              <w:rPr>
                <w:rFonts w:ascii="仿宋_GB2312" w:hAnsi="仿宋_GB2312" w:cs="仿宋_GB2312" w:eastAsia="仿宋_GB2312"/>
              </w:rPr>
              <w:t>投标人针对本项目采购需求提供的组织实施方案，包含但不限于： ①了解本项目服务特点；②制定的服务流程；③工作进度计划。 上述小项方案具有针对性和可行性，内容完整合理满足采购需求要求的每项得5分。存在一般缺陷：方案内容前后不一致、前后逻辑错误、内容有缺失，但不影响项目的实施，每存在一项缺陷扣1.5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管理制度及方案</w:t>
            </w:r>
          </w:p>
        </w:tc>
        <w:tc>
          <w:tcPr>
            <w:tcW w:type="dxa" w:w="2492"/>
          </w:tcPr>
          <w:p>
            <w:pPr>
              <w:pStyle w:val="null3"/>
              <w:jc w:val="both"/>
            </w:pPr>
            <w:r>
              <w:rPr>
                <w:rFonts w:ascii="仿宋_GB2312" w:hAnsi="仿宋_GB2312" w:cs="仿宋_GB2312" w:eastAsia="仿宋_GB2312"/>
              </w:rPr>
              <w:t>投标人针对本项目采购需求提供的管理制度及方案，包含但不限于： ①岗位管理；②薪酬福利管理；③劳动合同管理；④劳务纠纷管理；⑤社会保障管理；⑥档案管理。 上述小项方案具有针对性和可行性，内容完整合理满足采购需求要求的每项得4分。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服务质量保证方案</w:t>
            </w:r>
          </w:p>
        </w:tc>
        <w:tc>
          <w:tcPr>
            <w:tcW w:type="dxa" w:w="2492"/>
          </w:tcPr>
          <w:p>
            <w:pPr>
              <w:pStyle w:val="null3"/>
              <w:jc w:val="both"/>
            </w:pPr>
            <w:r>
              <w:rPr>
                <w:rFonts w:ascii="仿宋_GB2312" w:hAnsi="仿宋_GB2312" w:cs="仿宋_GB2312" w:eastAsia="仿宋_GB2312"/>
              </w:rPr>
              <w:t>投标人针对本项目采购需求提供的服务质量保证方案，包含但不限于： ①服务质量保证范围；②服务质量保证承诺；③服务质量保证措施； 上述小项方案具有针对性和可行性，内容完整合理满足采购需求要求的每项得5分。存在一般缺陷：方案内容前后不一致、前后逻辑错误、内容有缺失，但不影响项目的实施，每存在一项缺陷扣1.5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服务应急预案</w:t>
            </w:r>
          </w:p>
        </w:tc>
        <w:tc>
          <w:tcPr>
            <w:tcW w:type="dxa" w:w="2492"/>
          </w:tcPr>
          <w:p>
            <w:pPr>
              <w:pStyle w:val="null3"/>
              <w:jc w:val="both"/>
            </w:pPr>
            <w:r>
              <w:rPr>
                <w:rFonts w:ascii="仿宋_GB2312" w:hAnsi="仿宋_GB2312" w:cs="仿宋_GB2312" w:eastAsia="仿宋_GB2312"/>
              </w:rPr>
              <w:t>投标人针对本项目采购需求提供的服务应急预案，包含但不限于： ①突发事件分析及应对措施；②、应急人员安排； 上述小项方案具有针对性和可行性，内容完整合理满足采购需求要求的每项得5分。存在一般缺陷：方案内容前后不一致、前后逻辑错误、内容有缺失，但不影响项目的实施，每存在一项缺陷扣1.5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投标人针对本项目采购需求提供的培训方案，包含但不限于： ①培训内容；②培训计划；③培训形式； 上述小项方案具有针对性和可行性，内容完整合理满足采购需求要求的每项得5分。存在一般缺陷：方案内容前后不一致、前后逻辑错误、内容有缺失，但不影响项目的实施，每存在一项缺陷扣1.5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2021年1月1日（合同签订时间）起至今投标人为业主单位提供一项类似服务业绩的得2.5分，满分5分；须提供合同复印件关键页加盖公章。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项目负责人：具备人力资源管理师证书得6分。注：提供政府相关部门颁发的有效证书复印件加盖公章及2025年1月1日至今在本公司缴纳一个月社保的证明材料复印件加盖公章；”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其他证明材料（如有）</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其他证明材料（如有）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[HNMJ]20250400002[GK]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海南中学劳务外包服务项目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海南中学劳务外包服务项目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其余部分费用{包括基本工资、基础绩效工资、奖励性绩效工资、高温补贴、通讯费补贴、物业补贴等，并按规定每月缴纳养老、医疗、工伤、失业四项保险和住房公积金，住房公积金缴费比例为 12%（个人承担部分养老、医疗、失业、公积金从中代扣代缴）。具体金额以财政审核后实际发放为准。 }</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7266063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管理服务费（含税）</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230400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详见附件：其他证明材料（如有）</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详见附件：“供应商资格要求”中要求的其他相关文件（若有）</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